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95" w:rsidRDefault="005F1595" w:rsidP="005F1595">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sidRPr="005F1595">
        <w:rPr>
          <w:rFonts w:ascii="Arial" w:hAnsi="Arial" w:cs="Arial"/>
          <w:bCs/>
          <w:spacing w:val="-3"/>
          <w:sz w:val="22"/>
          <w:szCs w:val="22"/>
        </w:rPr>
        <w:t xml:space="preserve">The Queensland Mental Health Commission (QMHC) was established on 1 July 2013 under the </w:t>
      </w:r>
      <w:r w:rsidRPr="005F1595">
        <w:rPr>
          <w:rFonts w:ascii="Arial" w:hAnsi="Arial" w:cs="Arial"/>
          <w:bCs/>
          <w:i/>
          <w:spacing w:val="-3"/>
          <w:sz w:val="22"/>
          <w:szCs w:val="22"/>
        </w:rPr>
        <w:t>Queensland Mental Health Commission Act 2013</w:t>
      </w:r>
      <w:r w:rsidRPr="005F1595">
        <w:rPr>
          <w:rFonts w:ascii="Arial" w:hAnsi="Arial" w:cs="Arial"/>
          <w:bCs/>
          <w:spacing w:val="-3"/>
          <w:sz w:val="22"/>
          <w:szCs w:val="22"/>
        </w:rPr>
        <w:t xml:space="preserve"> (the Act). The main object of the QMHC is to drive ongoing reform towards a more integrated, evidence-based, recovery-oriented mental health and substance </w:t>
      </w:r>
      <w:r w:rsidR="00AB35BF">
        <w:rPr>
          <w:rFonts w:ascii="Arial" w:hAnsi="Arial" w:cs="Arial"/>
          <w:bCs/>
          <w:spacing w:val="-3"/>
          <w:sz w:val="22"/>
          <w:szCs w:val="22"/>
        </w:rPr>
        <w:t>mis</w:t>
      </w:r>
      <w:r w:rsidRPr="005F1595">
        <w:rPr>
          <w:rFonts w:ascii="Arial" w:hAnsi="Arial" w:cs="Arial"/>
          <w:bCs/>
          <w:spacing w:val="-3"/>
          <w:sz w:val="22"/>
          <w:szCs w:val="22"/>
        </w:rPr>
        <w:t>use system.</w:t>
      </w:r>
    </w:p>
    <w:p w:rsidR="005F1595" w:rsidRPr="005F1595" w:rsidRDefault="005F1595" w:rsidP="005F1595">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Pursuant to section 55 of the Act, </w:t>
      </w:r>
      <w:r w:rsidR="009E3942">
        <w:rPr>
          <w:rFonts w:ascii="Arial" w:hAnsi="Arial" w:cs="Arial"/>
          <w:bCs/>
          <w:spacing w:val="-3"/>
          <w:sz w:val="22"/>
          <w:szCs w:val="22"/>
        </w:rPr>
        <w:t xml:space="preserve">in </w:t>
      </w:r>
      <w:r w:rsidRPr="005F1595">
        <w:rPr>
          <w:rFonts w:ascii="Arial" w:hAnsi="Arial" w:cs="Arial"/>
          <w:bCs/>
          <w:spacing w:val="-3"/>
          <w:sz w:val="22"/>
          <w:szCs w:val="22"/>
        </w:rPr>
        <w:t>April 2016 the Director-General</w:t>
      </w:r>
      <w:r w:rsidR="00AB35BF">
        <w:rPr>
          <w:rFonts w:ascii="Arial" w:hAnsi="Arial" w:cs="Arial"/>
          <w:bCs/>
          <w:spacing w:val="-3"/>
          <w:sz w:val="22"/>
          <w:szCs w:val="22"/>
        </w:rPr>
        <w:t xml:space="preserve"> of</w:t>
      </w:r>
      <w:r w:rsidRPr="005F1595">
        <w:rPr>
          <w:rFonts w:ascii="Arial" w:hAnsi="Arial" w:cs="Arial"/>
          <w:bCs/>
          <w:spacing w:val="-3"/>
          <w:sz w:val="22"/>
          <w:szCs w:val="22"/>
        </w:rPr>
        <w:t xml:space="preserve"> Queensland Health requested the Public Service Commission lead an independent review of the performance by the QHMC of its</w:t>
      </w:r>
      <w:r w:rsidR="00DF0CB2">
        <w:rPr>
          <w:rFonts w:ascii="Arial" w:hAnsi="Arial" w:cs="Arial"/>
          <w:bCs/>
          <w:spacing w:val="-3"/>
          <w:sz w:val="22"/>
          <w:szCs w:val="22"/>
        </w:rPr>
        <w:t xml:space="preserve"> statutory</w:t>
      </w:r>
      <w:r w:rsidRPr="005F1595">
        <w:rPr>
          <w:rFonts w:ascii="Arial" w:hAnsi="Arial" w:cs="Arial"/>
          <w:bCs/>
          <w:spacing w:val="-3"/>
          <w:sz w:val="22"/>
          <w:szCs w:val="22"/>
        </w:rPr>
        <w:t xml:space="preserve"> functions. </w:t>
      </w:r>
      <w:r w:rsidR="009E3942">
        <w:rPr>
          <w:rFonts w:ascii="Arial" w:hAnsi="Arial" w:cs="Arial"/>
          <w:bCs/>
          <w:spacing w:val="-3"/>
          <w:sz w:val="22"/>
          <w:szCs w:val="22"/>
        </w:rPr>
        <w:t>In</w:t>
      </w:r>
      <w:r w:rsidRPr="005F1595">
        <w:rPr>
          <w:rFonts w:ascii="Arial" w:hAnsi="Arial" w:cs="Arial"/>
          <w:bCs/>
          <w:spacing w:val="-3"/>
          <w:sz w:val="22"/>
          <w:szCs w:val="22"/>
        </w:rPr>
        <w:t xml:space="preserve"> June 2016, the P</w:t>
      </w:r>
      <w:r>
        <w:rPr>
          <w:rFonts w:ascii="Arial" w:hAnsi="Arial" w:cs="Arial"/>
          <w:bCs/>
          <w:spacing w:val="-3"/>
          <w:sz w:val="22"/>
          <w:szCs w:val="22"/>
        </w:rPr>
        <w:t xml:space="preserve">ublic </w:t>
      </w:r>
      <w:r w:rsidRPr="005F1595">
        <w:rPr>
          <w:rFonts w:ascii="Arial" w:hAnsi="Arial" w:cs="Arial"/>
          <w:bCs/>
          <w:spacing w:val="-3"/>
          <w:sz w:val="22"/>
          <w:szCs w:val="22"/>
        </w:rPr>
        <w:t>S</w:t>
      </w:r>
      <w:r>
        <w:rPr>
          <w:rFonts w:ascii="Arial" w:hAnsi="Arial" w:cs="Arial"/>
          <w:bCs/>
          <w:spacing w:val="-3"/>
          <w:sz w:val="22"/>
          <w:szCs w:val="22"/>
        </w:rPr>
        <w:t xml:space="preserve">ervice </w:t>
      </w:r>
      <w:r w:rsidRPr="005F1595">
        <w:rPr>
          <w:rFonts w:ascii="Arial" w:hAnsi="Arial" w:cs="Arial"/>
          <w:bCs/>
          <w:spacing w:val="-3"/>
          <w:sz w:val="22"/>
          <w:szCs w:val="22"/>
        </w:rPr>
        <w:t>C</w:t>
      </w:r>
      <w:r>
        <w:rPr>
          <w:rFonts w:ascii="Arial" w:hAnsi="Arial" w:cs="Arial"/>
          <w:bCs/>
          <w:spacing w:val="-3"/>
          <w:sz w:val="22"/>
          <w:szCs w:val="22"/>
        </w:rPr>
        <w:t>ommission</w:t>
      </w:r>
      <w:r w:rsidRPr="005F1595">
        <w:rPr>
          <w:rFonts w:ascii="Arial" w:hAnsi="Arial" w:cs="Arial"/>
          <w:bCs/>
          <w:spacing w:val="-3"/>
          <w:sz w:val="22"/>
          <w:szCs w:val="22"/>
        </w:rPr>
        <w:t xml:space="preserve"> provided its final report, </w:t>
      </w:r>
      <w:r w:rsidRPr="005F1595">
        <w:rPr>
          <w:rFonts w:ascii="Arial" w:hAnsi="Arial" w:cs="Arial"/>
          <w:bCs/>
          <w:i/>
          <w:spacing w:val="-3"/>
          <w:sz w:val="22"/>
          <w:szCs w:val="22"/>
        </w:rPr>
        <w:t>Queensland Mental Health Commission effectiveness review (June 2016)</w:t>
      </w:r>
      <w:r w:rsidR="00757F9F">
        <w:rPr>
          <w:rFonts w:ascii="Arial" w:hAnsi="Arial" w:cs="Arial"/>
          <w:bCs/>
          <w:spacing w:val="-3"/>
          <w:sz w:val="22"/>
          <w:szCs w:val="22"/>
        </w:rPr>
        <w:t>,</w:t>
      </w:r>
      <w:r w:rsidRPr="005F1595">
        <w:rPr>
          <w:rFonts w:ascii="Arial" w:hAnsi="Arial" w:cs="Arial"/>
          <w:bCs/>
          <w:spacing w:val="-3"/>
          <w:sz w:val="22"/>
          <w:szCs w:val="22"/>
        </w:rPr>
        <w:t xml:space="preserve"> to the Minister</w:t>
      </w:r>
      <w:r>
        <w:rPr>
          <w:rFonts w:ascii="Arial" w:hAnsi="Arial" w:cs="Arial"/>
          <w:bCs/>
          <w:spacing w:val="-3"/>
          <w:sz w:val="22"/>
          <w:szCs w:val="22"/>
        </w:rPr>
        <w:t xml:space="preserve"> for Health and Minister for Ambulance Services</w:t>
      </w:r>
      <w:r w:rsidRPr="005F1595">
        <w:rPr>
          <w:rFonts w:ascii="Arial" w:hAnsi="Arial" w:cs="Arial"/>
          <w:bCs/>
          <w:spacing w:val="-3"/>
          <w:sz w:val="22"/>
          <w:szCs w:val="22"/>
        </w:rPr>
        <w:t>.</w:t>
      </w:r>
    </w:p>
    <w:p w:rsidR="005F1595" w:rsidRPr="005F1595" w:rsidRDefault="005F1595" w:rsidP="005F1595">
      <w:pPr>
        <w:numPr>
          <w:ilvl w:val="0"/>
          <w:numId w:val="20"/>
        </w:numPr>
        <w:tabs>
          <w:tab w:val="clear" w:pos="720"/>
          <w:tab w:val="num" w:pos="360"/>
        </w:tabs>
        <w:spacing w:before="240"/>
        <w:ind w:left="360"/>
        <w:jc w:val="both"/>
        <w:rPr>
          <w:rFonts w:ascii="Arial" w:hAnsi="Arial" w:cs="Arial"/>
          <w:bCs/>
          <w:spacing w:val="-3"/>
          <w:sz w:val="22"/>
          <w:szCs w:val="22"/>
        </w:rPr>
      </w:pPr>
      <w:r w:rsidRPr="005F1595">
        <w:rPr>
          <w:rFonts w:ascii="Arial" w:hAnsi="Arial" w:cs="Arial"/>
          <w:bCs/>
          <w:spacing w:val="-3"/>
          <w:sz w:val="22"/>
          <w:szCs w:val="22"/>
        </w:rPr>
        <w:t>The review findings were positive in respect of the QMHCs performance of its functions, noting that the focus of the QMHC in its first three years has been to forge relationships and fill system gaps to build a foundation for its operation. The report notes the QHMC should use the strong foundation it has built to recalibrate effort and focus into a second phase of reform.</w:t>
      </w:r>
      <w:r>
        <w:rPr>
          <w:rFonts w:ascii="Arial" w:hAnsi="Arial" w:cs="Arial"/>
          <w:bCs/>
          <w:spacing w:val="-3"/>
          <w:sz w:val="22"/>
          <w:szCs w:val="22"/>
        </w:rPr>
        <w:t xml:space="preserve"> </w:t>
      </w:r>
      <w:r w:rsidRPr="005F1595">
        <w:rPr>
          <w:rFonts w:ascii="Arial" w:hAnsi="Arial" w:cs="Arial"/>
          <w:bCs/>
          <w:spacing w:val="-3"/>
          <w:sz w:val="22"/>
          <w:szCs w:val="22"/>
        </w:rPr>
        <w:t>The report makes 13 recommendations to provide guidance to the QMHC on continuing areas of focus</w:t>
      </w:r>
      <w:r>
        <w:rPr>
          <w:rFonts w:ascii="Arial" w:hAnsi="Arial" w:cs="Arial"/>
          <w:bCs/>
          <w:spacing w:val="-3"/>
          <w:sz w:val="22"/>
          <w:szCs w:val="22"/>
        </w:rPr>
        <w:t>.</w:t>
      </w:r>
    </w:p>
    <w:p w:rsidR="00FB13FD" w:rsidRPr="00CE6FBA" w:rsidRDefault="00FB13FD" w:rsidP="00FB13FD">
      <w:pPr>
        <w:numPr>
          <w:ilvl w:val="0"/>
          <w:numId w:val="20"/>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004820CC">
        <w:rPr>
          <w:rFonts w:ascii="Arial" w:hAnsi="Arial" w:cs="Arial"/>
          <w:sz w:val="22"/>
          <w:szCs w:val="22"/>
        </w:rPr>
        <w:t xml:space="preserve">the </w:t>
      </w:r>
      <w:r w:rsidR="007A1FC2">
        <w:rPr>
          <w:rFonts w:ascii="Arial" w:hAnsi="Arial" w:cs="Arial"/>
          <w:sz w:val="22"/>
          <w:szCs w:val="22"/>
        </w:rPr>
        <w:t xml:space="preserve">public release of the </w:t>
      </w:r>
      <w:r w:rsidR="004820CC">
        <w:rPr>
          <w:rFonts w:ascii="Arial" w:hAnsi="Arial" w:cs="Arial"/>
          <w:sz w:val="22"/>
          <w:szCs w:val="22"/>
        </w:rPr>
        <w:t xml:space="preserve">Public Service Commission’s </w:t>
      </w:r>
      <w:r w:rsidR="00A652B7">
        <w:rPr>
          <w:rFonts w:ascii="Arial" w:hAnsi="Arial" w:cs="Arial"/>
          <w:sz w:val="22"/>
          <w:szCs w:val="22"/>
        </w:rPr>
        <w:t xml:space="preserve">final report, </w:t>
      </w:r>
      <w:r w:rsidR="00A652B7" w:rsidRPr="000F5571">
        <w:rPr>
          <w:rFonts w:ascii="Arial" w:hAnsi="Arial" w:cs="Arial"/>
          <w:i/>
          <w:sz w:val="22"/>
          <w:szCs w:val="22"/>
        </w:rPr>
        <w:t xml:space="preserve">Queensland Mental Health Commission </w:t>
      </w:r>
      <w:r w:rsidR="00F714CF" w:rsidRPr="000F5571">
        <w:rPr>
          <w:rFonts w:ascii="Arial" w:hAnsi="Arial" w:cs="Arial"/>
          <w:i/>
          <w:sz w:val="22"/>
          <w:szCs w:val="22"/>
        </w:rPr>
        <w:t xml:space="preserve">effectiveness </w:t>
      </w:r>
      <w:r w:rsidR="00A652B7" w:rsidRPr="000F5571">
        <w:rPr>
          <w:rFonts w:ascii="Arial" w:hAnsi="Arial" w:cs="Arial"/>
          <w:i/>
          <w:sz w:val="22"/>
          <w:szCs w:val="22"/>
        </w:rPr>
        <w:t>review</w:t>
      </w:r>
      <w:r w:rsidR="000F5571">
        <w:rPr>
          <w:rFonts w:ascii="Arial" w:hAnsi="Arial" w:cs="Arial"/>
          <w:i/>
          <w:sz w:val="22"/>
          <w:szCs w:val="22"/>
        </w:rPr>
        <w:t xml:space="preserve"> (June 2016)</w:t>
      </w:r>
      <w:r w:rsidR="004820CC">
        <w:rPr>
          <w:rFonts w:ascii="Arial" w:hAnsi="Arial" w:cs="Arial"/>
          <w:sz w:val="22"/>
          <w:szCs w:val="22"/>
        </w:rPr>
        <w:t>.</w:t>
      </w:r>
    </w:p>
    <w:p w:rsidR="00FB13FD" w:rsidRPr="005F1595" w:rsidRDefault="00FB13FD" w:rsidP="000F5571">
      <w:pPr>
        <w:numPr>
          <w:ilvl w:val="0"/>
          <w:numId w:val="20"/>
        </w:numPr>
        <w:tabs>
          <w:tab w:val="clear" w:pos="720"/>
          <w:tab w:val="num" w:pos="360"/>
        </w:tabs>
        <w:spacing w:before="360"/>
        <w:ind w:left="360"/>
        <w:jc w:val="both"/>
        <w:rPr>
          <w:rFonts w:ascii="Arial" w:hAnsi="Arial" w:cs="Arial"/>
          <w:i/>
          <w:sz w:val="22"/>
          <w:szCs w:val="22"/>
          <w:u w:val="single"/>
        </w:rPr>
      </w:pPr>
      <w:r w:rsidRPr="005F1595">
        <w:rPr>
          <w:rFonts w:ascii="Arial" w:hAnsi="Arial" w:cs="Arial"/>
          <w:bCs/>
          <w:i/>
          <w:spacing w:val="-3"/>
          <w:sz w:val="22"/>
          <w:szCs w:val="22"/>
          <w:u w:val="single"/>
        </w:rPr>
        <w:t>Attachments</w:t>
      </w:r>
    </w:p>
    <w:p w:rsidR="00FB13FD" w:rsidRPr="00757F9F" w:rsidRDefault="004417FF" w:rsidP="00FB13FD">
      <w:pPr>
        <w:numPr>
          <w:ilvl w:val="0"/>
          <w:numId w:val="21"/>
        </w:numPr>
        <w:spacing w:before="120"/>
        <w:ind w:left="811"/>
        <w:jc w:val="both"/>
        <w:rPr>
          <w:rFonts w:ascii="Arial" w:hAnsi="Arial" w:cs="Arial"/>
          <w:i/>
          <w:sz w:val="22"/>
          <w:szCs w:val="22"/>
        </w:rPr>
      </w:pPr>
      <w:hyperlink r:id="rId7" w:history="1">
        <w:r w:rsidR="005F1595" w:rsidRPr="00757F9F">
          <w:rPr>
            <w:rStyle w:val="Hyperlink"/>
            <w:rFonts w:ascii="Arial" w:hAnsi="Arial" w:cs="Arial"/>
            <w:i/>
            <w:sz w:val="22"/>
            <w:szCs w:val="22"/>
          </w:rPr>
          <w:t>Queensland Mental Health Commission effectiveness review (June 2016)</w:t>
        </w:r>
      </w:hyperlink>
    </w:p>
    <w:sectPr w:rsidR="00FB13FD" w:rsidRPr="00757F9F" w:rsidSect="00F53E02">
      <w:headerReference w:type="default" r:id="rId8"/>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1E8" w:rsidRDefault="001101E8">
      <w:r>
        <w:separator/>
      </w:r>
    </w:p>
  </w:endnote>
  <w:endnote w:type="continuationSeparator" w:id="0">
    <w:p w:rsidR="001101E8" w:rsidRDefault="0011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1E8" w:rsidRDefault="001101E8">
      <w:r>
        <w:separator/>
      </w:r>
    </w:p>
  </w:footnote>
  <w:footnote w:type="continuationSeparator" w:id="0">
    <w:p w:rsidR="001101E8" w:rsidRDefault="00110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FD" w:rsidRPr="003E3AAE" w:rsidRDefault="00FB13FD" w:rsidP="005F1595">
    <w:pPr>
      <w:pStyle w:val="Header"/>
      <w:pBdr>
        <w:top w:val="thinThickLargeGap" w:sz="24" w:space="6" w:color="auto"/>
        <w:left w:val="thinThickLargeGap" w:sz="24" w:space="4" w:color="auto"/>
        <w:bottom w:val="thickThinLargeGap" w:sz="24" w:space="4" w:color="auto"/>
        <w:right w:val="thickThinLargeGap" w:sz="24" w:space="4" w:color="auto"/>
      </w:pBdr>
      <w:tabs>
        <w:tab w:val="left" w:pos="2361"/>
        <w:tab w:val="left" w:pos="2512"/>
        <w:tab w:val="center" w:pos="4819"/>
        <w:tab w:val="right" w:pos="9072"/>
      </w:tabs>
      <w:jc w:val="center"/>
      <w:rPr>
        <w:rFonts w:ascii="Arial" w:hAnsi="Arial" w:cs="Arial"/>
        <w:b/>
        <w:sz w:val="28"/>
        <w:szCs w:val="22"/>
      </w:rPr>
    </w:pPr>
    <w:r w:rsidRPr="003E3AAE">
      <w:rPr>
        <w:rFonts w:ascii="Arial" w:hAnsi="Arial" w:cs="Arial"/>
        <w:b/>
        <w:sz w:val="28"/>
        <w:szCs w:val="22"/>
      </w:rPr>
      <w:t>Queensland Government</w:t>
    </w:r>
  </w:p>
  <w:p w:rsidR="00FB13FD" w:rsidRPr="00D75134" w:rsidRDefault="00FB13FD"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FB13FD" w:rsidRPr="001E209B" w:rsidRDefault="00FB13FD"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5F1595">
      <w:rPr>
        <w:rFonts w:ascii="Arial" w:hAnsi="Arial" w:cs="Arial"/>
        <w:b/>
        <w:sz w:val="22"/>
        <w:szCs w:val="22"/>
      </w:rPr>
      <w:t>September 2016</w:t>
    </w:r>
  </w:p>
  <w:p w:rsidR="00FB13FD" w:rsidRDefault="005F1595" w:rsidP="00FB13FD">
    <w:pPr>
      <w:pStyle w:val="Header"/>
      <w:spacing w:before="120"/>
      <w:rPr>
        <w:rFonts w:ascii="Arial" w:hAnsi="Arial" w:cs="Arial"/>
        <w:b/>
        <w:sz w:val="22"/>
        <w:szCs w:val="22"/>
        <w:u w:val="single"/>
      </w:rPr>
    </w:pPr>
    <w:r w:rsidRPr="005F1595">
      <w:rPr>
        <w:rFonts w:ascii="Arial" w:hAnsi="Arial" w:cs="Arial"/>
        <w:b/>
        <w:sz w:val="22"/>
        <w:szCs w:val="22"/>
        <w:u w:val="single"/>
      </w:rPr>
      <w:t>Queensland Mental Health Commission effectiveness review – final report</w:t>
    </w:r>
  </w:p>
  <w:p w:rsidR="00FB13FD" w:rsidRDefault="00FB13FD" w:rsidP="00FB13FD">
    <w:pPr>
      <w:pStyle w:val="Header"/>
      <w:spacing w:before="120"/>
      <w:rPr>
        <w:rFonts w:ascii="Arial" w:hAnsi="Arial" w:cs="Arial"/>
        <w:b/>
        <w:sz w:val="22"/>
        <w:szCs w:val="22"/>
        <w:u w:val="single"/>
      </w:rPr>
    </w:pPr>
    <w:r>
      <w:rPr>
        <w:rFonts w:ascii="Arial" w:hAnsi="Arial" w:cs="Arial"/>
        <w:b/>
        <w:sz w:val="22"/>
        <w:szCs w:val="22"/>
        <w:u w:val="single"/>
      </w:rPr>
      <w:t>Minister</w:t>
    </w:r>
    <w:r w:rsidR="005F1595">
      <w:rPr>
        <w:rFonts w:ascii="Arial" w:hAnsi="Arial" w:cs="Arial"/>
        <w:b/>
        <w:sz w:val="22"/>
        <w:szCs w:val="22"/>
        <w:u w:val="single"/>
      </w:rPr>
      <w:t xml:space="preserve"> for Health and Minister for Ambulance Services</w:t>
    </w:r>
  </w:p>
  <w:p w:rsidR="00FB13FD" w:rsidRPr="003E3AAE" w:rsidRDefault="00FB13FD" w:rsidP="00FB13FD">
    <w:pPr>
      <w:pStyle w:val="Header"/>
      <w:pBdr>
        <w:bottom w:val="sing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81F1585"/>
    <w:multiLevelType w:val="multilevel"/>
    <w:tmpl w:val="434065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55130200"/>
    <w:multiLevelType w:val="hybridMultilevel"/>
    <w:tmpl w:val="DC4AC384"/>
    <w:lvl w:ilvl="0" w:tplc="BD064520">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A91C91"/>
    <w:multiLevelType w:val="multilevel"/>
    <w:tmpl w:val="1D90823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15" w15:restartNumberingAfterBreak="0">
    <w:nsid w:val="5E827EE2"/>
    <w:multiLevelType w:val="multilevel"/>
    <w:tmpl w:val="11705D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6C7F0492"/>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DC6154F"/>
    <w:multiLevelType w:val="multilevel"/>
    <w:tmpl w:val="33C0A98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20"/>
  </w:num>
  <w:num w:numId="4">
    <w:abstractNumId w:val="14"/>
  </w:num>
  <w:num w:numId="5">
    <w:abstractNumId w:val="3"/>
  </w:num>
  <w:num w:numId="6">
    <w:abstractNumId w:val="11"/>
  </w:num>
  <w:num w:numId="7">
    <w:abstractNumId w:val="1"/>
  </w:num>
  <w:num w:numId="8">
    <w:abstractNumId w:val="9"/>
  </w:num>
  <w:num w:numId="9">
    <w:abstractNumId w:val="2"/>
  </w:num>
  <w:num w:numId="10">
    <w:abstractNumId w:val="7"/>
  </w:num>
  <w:num w:numId="11">
    <w:abstractNumId w:val="8"/>
  </w:num>
  <w:num w:numId="12">
    <w:abstractNumId w:val="15"/>
  </w:num>
  <w:num w:numId="13">
    <w:abstractNumId w:val="19"/>
  </w:num>
  <w:num w:numId="14">
    <w:abstractNumId w:val="5"/>
  </w:num>
  <w:num w:numId="15">
    <w:abstractNumId w:val="4"/>
  </w:num>
  <w:num w:numId="16">
    <w:abstractNumId w:val="13"/>
  </w:num>
  <w:num w:numId="17">
    <w:abstractNumId w:val="17"/>
  </w:num>
  <w:num w:numId="18">
    <w:abstractNumId w:val="18"/>
  </w:num>
  <w:num w:numId="19">
    <w:abstractNumId w:val="10"/>
  </w:num>
  <w:num w:numId="20">
    <w:abstractNumId w:val="22"/>
  </w:num>
  <w:num w:numId="21">
    <w:abstractNumId w:val="21"/>
  </w:num>
  <w:num w:numId="22">
    <w:abstractNumId w:val="6"/>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23"/>
    <w:rsid w:val="00021188"/>
    <w:rsid w:val="00027113"/>
    <w:rsid w:val="000400F9"/>
    <w:rsid w:val="00041A0F"/>
    <w:rsid w:val="000430DD"/>
    <w:rsid w:val="000526D3"/>
    <w:rsid w:val="00066D93"/>
    <w:rsid w:val="00070A40"/>
    <w:rsid w:val="000924FD"/>
    <w:rsid w:val="0009634A"/>
    <w:rsid w:val="000A1D7D"/>
    <w:rsid w:val="000A2BAC"/>
    <w:rsid w:val="000A6E5D"/>
    <w:rsid w:val="000C15F5"/>
    <w:rsid w:val="000C2437"/>
    <w:rsid w:val="000C38A3"/>
    <w:rsid w:val="000C7639"/>
    <w:rsid w:val="000D05D6"/>
    <w:rsid w:val="000E3F6A"/>
    <w:rsid w:val="000F0DB5"/>
    <w:rsid w:val="000F21F9"/>
    <w:rsid w:val="000F4B3C"/>
    <w:rsid w:val="000F5571"/>
    <w:rsid w:val="000F680A"/>
    <w:rsid w:val="001010F3"/>
    <w:rsid w:val="00103AAA"/>
    <w:rsid w:val="001101E8"/>
    <w:rsid w:val="001141E1"/>
    <w:rsid w:val="001227DD"/>
    <w:rsid w:val="00123E0E"/>
    <w:rsid w:val="00124FE2"/>
    <w:rsid w:val="00126CC9"/>
    <w:rsid w:val="00135D6D"/>
    <w:rsid w:val="001376CE"/>
    <w:rsid w:val="00140936"/>
    <w:rsid w:val="00144370"/>
    <w:rsid w:val="00144862"/>
    <w:rsid w:val="0014649D"/>
    <w:rsid w:val="0015685D"/>
    <w:rsid w:val="00156C19"/>
    <w:rsid w:val="001622E3"/>
    <w:rsid w:val="0016440A"/>
    <w:rsid w:val="0016461A"/>
    <w:rsid w:val="001718E2"/>
    <w:rsid w:val="0017740C"/>
    <w:rsid w:val="0017782F"/>
    <w:rsid w:val="00182E54"/>
    <w:rsid w:val="00190C8E"/>
    <w:rsid w:val="001B5837"/>
    <w:rsid w:val="001C07ED"/>
    <w:rsid w:val="001C350C"/>
    <w:rsid w:val="001D5A2D"/>
    <w:rsid w:val="001D5F1F"/>
    <w:rsid w:val="001E209B"/>
    <w:rsid w:val="001E5583"/>
    <w:rsid w:val="001E6C9A"/>
    <w:rsid w:val="002076A3"/>
    <w:rsid w:val="0021344B"/>
    <w:rsid w:val="00216296"/>
    <w:rsid w:val="002266A8"/>
    <w:rsid w:val="00227D1E"/>
    <w:rsid w:val="00240160"/>
    <w:rsid w:val="00242B09"/>
    <w:rsid w:val="00273B58"/>
    <w:rsid w:val="00294F96"/>
    <w:rsid w:val="002971C2"/>
    <w:rsid w:val="002A6FC7"/>
    <w:rsid w:val="002B5574"/>
    <w:rsid w:val="002C07C8"/>
    <w:rsid w:val="002C29EC"/>
    <w:rsid w:val="002E58D6"/>
    <w:rsid w:val="002E5AA0"/>
    <w:rsid w:val="002E7435"/>
    <w:rsid w:val="002F7590"/>
    <w:rsid w:val="003024B9"/>
    <w:rsid w:val="0031208A"/>
    <w:rsid w:val="0032140C"/>
    <w:rsid w:val="003243E0"/>
    <w:rsid w:val="00330878"/>
    <w:rsid w:val="0033391A"/>
    <w:rsid w:val="00340EF2"/>
    <w:rsid w:val="00355608"/>
    <w:rsid w:val="003737C1"/>
    <w:rsid w:val="00391750"/>
    <w:rsid w:val="003927E5"/>
    <w:rsid w:val="003A4AA8"/>
    <w:rsid w:val="003B5871"/>
    <w:rsid w:val="003C5050"/>
    <w:rsid w:val="003C71CD"/>
    <w:rsid w:val="003D2408"/>
    <w:rsid w:val="003E2D89"/>
    <w:rsid w:val="00412A34"/>
    <w:rsid w:val="004149B9"/>
    <w:rsid w:val="00426D0F"/>
    <w:rsid w:val="004417FF"/>
    <w:rsid w:val="0044424E"/>
    <w:rsid w:val="00444DCF"/>
    <w:rsid w:val="004605B5"/>
    <w:rsid w:val="004616B6"/>
    <w:rsid w:val="00464036"/>
    <w:rsid w:val="00476361"/>
    <w:rsid w:val="00476A64"/>
    <w:rsid w:val="004820CC"/>
    <w:rsid w:val="00494586"/>
    <w:rsid w:val="004A73AD"/>
    <w:rsid w:val="004B6BEE"/>
    <w:rsid w:val="004B751F"/>
    <w:rsid w:val="004C5933"/>
    <w:rsid w:val="004C65A5"/>
    <w:rsid w:val="004D201D"/>
    <w:rsid w:val="004D7050"/>
    <w:rsid w:val="004E3AE1"/>
    <w:rsid w:val="004E3BC5"/>
    <w:rsid w:val="004E501D"/>
    <w:rsid w:val="004F0CB6"/>
    <w:rsid w:val="0052050A"/>
    <w:rsid w:val="00527730"/>
    <w:rsid w:val="005425AB"/>
    <w:rsid w:val="005577AB"/>
    <w:rsid w:val="00583FC7"/>
    <w:rsid w:val="005D2665"/>
    <w:rsid w:val="005D5BB9"/>
    <w:rsid w:val="005E428B"/>
    <w:rsid w:val="005E7616"/>
    <w:rsid w:val="005E7C61"/>
    <w:rsid w:val="005F1595"/>
    <w:rsid w:val="00635DE2"/>
    <w:rsid w:val="00635F40"/>
    <w:rsid w:val="0064268C"/>
    <w:rsid w:val="00655682"/>
    <w:rsid w:val="00656393"/>
    <w:rsid w:val="0066340C"/>
    <w:rsid w:val="0066421E"/>
    <w:rsid w:val="00667828"/>
    <w:rsid w:val="0067667D"/>
    <w:rsid w:val="006B08C4"/>
    <w:rsid w:val="006E25A6"/>
    <w:rsid w:val="006F4423"/>
    <w:rsid w:val="006F7B5F"/>
    <w:rsid w:val="007050E6"/>
    <w:rsid w:val="00742804"/>
    <w:rsid w:val="00745F4C"/>
    <w:rsid w:val="00757F9F"/>
    <w:rsid w:val="00761EEB"/>
    <w:rsid w:val="007653EB"/>
    <w:rsid w:val="00782539"/>
    <w:rsid w:val="0079498D"/>
    <w:rsid w:val="00795162"/>
    <w:rsid w:val="007A1FC2"/>
    <w:rsid w:val="007B178B"/>
    <w:rsid w:val="007B6771"/>
    <w:rsid w:val="007C5B4B"/>
    <w:rsid w:val="007C6505"/>
    <w:rsid w:val="007D5103"/>
    <w:rsid w:val="007D5192"/>
    <w:rsid w:val="007F4352"/>
    <w:rsid w:val="007F46E4"/>
    <w:rsid w:val="00800574"/>
    <w:rsid w:val="00827746"/>
    <w:rsid w:val="00832489"/>
    <w:rsid w:val="00834946"/>
    <w:rsid w:val="00842FBD"/>
    <w:rsid w:val="00862C15"/>
    <w:rsid w:val="00867427"/>
    <w:rsid w:val="00870321"/>
    <w:rsid w:val="008A3F6F"/>
    <w:rsid w:val="008A4232"/>
    <w:rsid w:val="008A4523"/>
    <w:rsid w:val="008B4747"/>
    <w:rsid w:val="008D5F1B"/>
    <w:rsid w:val="008E421C"/>
    <w:rsid w:val="008F44CD"/>
    <w:rsid w:val="0090137E"/>
    <w:rsid w:val="0090282F"/>
    <w:rsid w:val="00903510"/>
    <w:rsid w:val="00907035"/>
    <w:rsid w:val="00910375"/>
    <w:rsid w:val="00911F6B"/>
    <w:rsid w:val="009175A7"/>
    <w:rsid w:val="00930537"/>
    <w:rsid w:val="00932FA5"/>
    <w:rsid w:val="009342A1"/>
    <w:rsid w:val="00934403"/>
    <w:rsid w:val="0094685D"/>
    <w:rsid w:val="0095036A"/>
    <w:rsid w:val="009519BB"/>
    <w:rsid w:val="009551A2"/>
    <w:rsid w:val="009566B7"/>
    <w:rsid w:val="0096001A"/>
    <w:rsid w:val="00964A2F"/>
    <w:rsid w:val="009653D1"/>
    <w:rsid w:val="009A3B69"/>
    <w:rsid w:val="009A7076"/>
    <w:rsid w:val="009D3131"/>
    <w:rsid w:val="009E1AD3"/>
    <w:rsid w:val="009E3942"/>
    <w:rsid w:val="009E4DC1"/>
    <w:rsid w:val="009F2656"/>
    <w:rsid w:val="009F4298"/>
    <w:rsid w:val="009F5F9B"/>
    <w:rsid w:val="00A1274B"/>
    <w:rsid w:val="00A159BA"/>
    <w:rsid w:val="00A17ED0"/>
    <w:rsid w:val="00A369DE"/>
    <w:rsid w:val="00A41443"/>
    <w:rsid w:val="00A45816"/>
    <w:rsid w:val="00A527A5"/>
    <w:rsid w:val="00A652B7"/>
    <w:rsid w:val="00A67675"/>
    <w:rsid w:val="00A70444"/>
    <w:rsid w:val="00A75633"/>
    <w:rsid w:val="00A963DE"/>
    <w:rsid w:val="00AA62F2"/>
    <w:rsid w:val="00AB35BF"/>
    <w:rsid w:val="00AB5421"/>
    <w:rsid w:val="00AB6F21"/>
    <w:rsid w:val="00AD6552"/>
    <w:rsid w:val="00AF610D"/>
    <w:rsid w:val="00B0525E"/>
    <w:rsid w:val="00B2374C"/>
    <w:rsid w:val="00B35060"/>
    <w:rsid w:val="00B377F3"/>
    <w:rsid w:val="00B453F6"/>
    <w:rsid w:val="00B54A1C"/>
    <w:rsid w:val="00B605B9"/>
    <w:rsid w:val="00B60F74"/>
    <w:rsid w:val="00B73CA4"/>
    <w:rsid w:val="00B861ED"/>
    <w:rsid w:val="00B958E7"/>
    <w:rsid w:val="00B97FB4"/>
    <w:rsid w:val="00BA70E9"/>
    <w:rsid w:val="00BB1AFC"/>
    <w:rsid w:val="00BB5314"/>
    <w:rsid w:val="00BC21AA"/>
    <w:rsid w:val="00BD5C1A"/>
    <w:rsid w:val="00BD7E0D"/>
    <w:rsid w:val="00BE1E29"/>
    <w:rsid w:val="00BE346E"/>
    <w:rsid w:val="00BE5B84"/>
    <w:rsid w:val="00BF35DF"/>
    <w:rsid w:val="00BF46CA"/>
    <w:rsid w:val="00C0535B"/>
    <w:rsid w:val="00C07656"/>
    <w:rsid w:val="00C14FB2"/>
    <w:rsid w:val="00C16E01"/>
    <w:rsid w:val="00C17E3B"/>
    <w:rsid w:val="00C30A86"/>
    <w:rsid w:val="00C31326"/>
    <w:rsid w:val="00C44A05"/>
    <w:rsid w:val="00C51F18"/>
    <w:rsid w:val="00C62E9C"/>
    <w:rsid w:val="00C84211"/>
    <w:rsid w:val="00C91283"/>
    <w:rsid w:val="00CA355F"/>
    <w:rsid w:val="00CA3EEB"/>
    <w:rsid w:val="00CB3CF8"/>
    <w:rsid w:val="00CB44E7"/>
    <w:rsid w:val="00CC0A18"/>
    <w:rsid w:val="00CC63BB"/>
    <w:rsid w:val="00CD2E02"/>
    <w:rsid w:val="00CD5139"/>
    <w:rsid w:val="00CE6FBA"/>
    <w:rsid w:val="00CF16CB"/>
    <w:rsid w:val="00D26D87"/>
    <w:rsid w:val="00D5111A"/>
    <w:rsid w:val="00D6489A"/>
    <w:rsid w:val="00D71185"/>
    <w:rsid w:val="00D740A8"/>
    <w:rsid w:val="00D75121"/>
    <w:rsid w:val="00D75134"/>
    <w:rsid w:val="00D82051"/>
    <w:rsid w:val="00D84B5E"/>
    <w:rsid w:val="00D91EA6"/>
    <w:rsid w:val="00D96412"/>
    <w:rsid w:val="00DA4D47"/>
    <w:rsid w:val="00DA6C5D"/>
    <w:rsid w:val="00DB1B46"/>
    <w:rsid w:val="00DB6FE7"/>
    <w:rsid w:val="00DD06E1"/>
    <w:rsid w:val="00DD1780"/>
    <w:rsid w:val="00DD6BA7"/>
    <w:rsid w:val="00DE2A72"/>
    <w:rsid w:val="00DE61EC"/>
    <w:rsid w:val="00DE73D5"/>
    <w:rsid w:val="00DF08D6"/>
    <w:rsid w:val="00DF0CB2"/>
    <w:rsid w:val="00DF2E2C"/>
    <w:rsid w:val="00DF69A7"/>
    <w:rsid w:val="00E06DFB"/>
    <w:rsid w:val="00E07DDF"/>
    <w:rsid w:val="00E11CCA"/>
    <w:rsid w:val="00E129B6"/>
    <w:rsid w:val="00E317C3"/>
    <w:rsid w:val="00E34327"/>
    <w:rsid w:val="00E464DD"/>
    <w:rsid w:val="00E47F1D"/>
    <w:rsid w:val="00E539DE"/>
    <w:rsid w:val="00E814F1"/>
    <w:rsid w:val="00E8345C"/>
    <w:rsid w:val="00E836BF"/>
    <w:rsid w:val="00E84E0F"/>
    <w:rsid w:val="00EB074A"/>
    <w:rsid w:val="00EB493D"/>
    <w:rsid w:val="00EC026F"/>
    <w:rsid w:val="00EC0396"/>
    <w:rsid w:val="00EC3D68"/>
    <w:rsid w:val="00EC789A"/>
    <w:rsid w:val="00ED29FB"/>
    <w:rsid w:val="00ED7DA6"/>
    <w:rsid w:val="00EE23E9"/>
    <w:rsid w:val="00EE25B4"/>
    <w:rsid w:val="00EF6F0B"/>
    <w:rsid w:val="00F023B9"/>
    <w:rsid w:val="00F031F4"/>
    <w:rsid w:val="00F04337"/>
    <w:rsid w:val="00F10DF9"/>
    <w:rsid w:val="00F25FA5"/>
    <w:rsid w:val="00F333F5"/>
    <w:rsid w:val="00F45826"/>
    <w:rsid w:val="00F470A4"/>
    <w:rsid w:val="00F515D3"/>
    <w:rsid w:val="00F53E02"/>
    <w:rsid w:val="00F561A5"/>
    <w:rsid w:val="00F679C1"/>
    <w:rsid w:val="00F714CF"/>
    <w:rsid w:val="00F80AE1"/>
    <w:rsid w:val="00F822D6"/>
    <w:rsid w:val="00F84EFB"/>
    <w:rsid w:val="00F93C82"/>
    <w:rsid w:val="00F96D52"/>
    <w:rsid w:val="00FA33B7"/>
    <w:rsid w:val="00FB13FD"/>
    <w:rsid w:val="00FB34E3"/>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EB"/>
    <w:rPr>
      <w:color w:val="000000"/>
      <w:sz w:val="24"/>
    </w:rPr>
  </w:style>
  <w:style w:type="paragraph" w:styleId="Heading1">
    <w:name w:val="heading 1"/>
    <w:basedOn w:val="Normal"/>
    <w:next w:val="Normal"/>
    <w:link w:val="Heading1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rsid w:val="00CA3EE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010F3"/>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1010F3"/>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1010F3"/>
    <w:rPr>
      <w:rFonts w:ascii="Cambria" w:hAnsi="Cambria" w:cs="Times New Roman"/>
      <w:b/>
      <w:bCs/>
      <w:color w:val="000000"/>
      <w:sz w:val="26"/>
      <w:szCs w:val="26"/>
    </w:rPr>
  </w:style>
  <w:style w:type="paragraph" w:styleId="Header">
    <w:name w:val="header"/>
    <w:basedOn w:val="Normal"/>
    <w:link w:val="HeaderChar"/>
    <w:uiPriority w:val="99"/>
    <w:rsid w:val="00CA3EEB"/>
    <w:pPr>
      <w:tabs>
        <w:tab w:val="center" w:pos="4153"/>
        <w:tab w:val="right" w:pos="8306"/>
      </w:tabs>
    </w:pPr>
    <w:rPr>
      <w:color w:val="auto"/>
    </w:rPr>
  </w:style>
  <w:style w:type="character" w:customStyle="1" w:styleId="HeaderChar">
    <w:name w:val="Header Char"/>
    <w:link w:val="Header"/>
    <w:uiPriority w:val="99"/>
    <w:locked/>
    <w:rsid w:val="001010F3"/>
    <w:rPr>
      <w:rFonts w:cs="Times New Roman"/>
      <w:color w:val="000000"/>
      <w:sz w:val="20"/>
      <w:szCs w:val="20"/>
    </w:rPr>
  </w:style>
  <w:style w:type="character" w:styleId="PageNumber">
    <w:name w:val="page number"/>
    <w:uiPriority w:val="99"/>
    <w:rsid w:val="00CA3EEB"/>
    <w:rPr>
      <w:rFonts w:cs="Times New Roman"/>
    </w:rPr>
  </w:style>
  <w:style w:type="paragraph" w:styleId="Footer">
    <w:name w:val="footer"/>
    <w:basedOn w:val="Normal"/>
    <w:link w:val="FooterChar"/>
    <w:uiPriority w:val="99"/>
    <w:rsid w:val="00CA3EEB"/>
    <w:pPr>
      <w:tabs>
        <w:tab w:val="center" w:pos="4153"/>
        <w:tab w:val="right" w:pos="8306"/>
      </w:tabs>
    </w:pPr>
  </w:style>
  <w:style w:type="character" w:customStyle="1" w:styleId="FooterChar">
    <w:name w:val="Footer Char"/>
    <w:link w:val="Footer"/>
    <w:uiPriority w:val="99"/>
    <w:locked/>
    <w:rsid w:val="004F0CB6"/>
    <w:rPr>
      <w:rFonts w:cs="Times New Roman"/>
      <w:color w:val="000000"/>
      <w:sz w:val="24"/>
    </w:rPr>
  </w:style>
  <w:style w:type="paragraph" w:styleId="BalloonText">
    <w:name w:val="Balloon Text"/>
    <w:basedOn w:val="Normal"/>
    <w:link w:val="BalloonTextChar"/>
    <w:uiPriority w:val="99"/>
    <w:semiHidden/>
    <w:rsid w:val="00EE23E9"/>
    <w:rPr>
      <w:rFonts w:ascii="Tahoma" w:hAnsi="Tahoma" w:cs="Tahoma"/>
      <w:sz w:val="16"/>
      <w:szCs w:val="16"/>
    </w:rPr>
  </w:style>
  <w:style w:type="character" w:customStyle="1" w:styleId="BalloonTextChar">
    <w:name w:val="Balloon Text Char"/>
    <w:link w:val="BalloonText"/>
    <w:uiPriority w:val="99"/>
    <w:semiHidden/>
    <w:locked/>
    <w:rsid w:val="001010F3"/>
    <w:rPr>
      <w:rFonts w:cs="Times New Roman"/>
      <w:color w:val="000000"/>
      <w:sz w:val="2"/>
    </w:rPr>
  </w:style>
  <w:style w:type="paragraph" w:customStyle="1" w:styleId="11">
    <w:name w:val="1(1)"/>
    <w:uiPriority w:val="99"/>
    <w:rsid w:val="000C15F5"/>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94685D"/>
    <w:rPr>
      <w:color w:val="auto"/>
      <w:lang w:eastAsia="en-US"/>
    </w:rPr>
  </w:style>
  <w:style w:type="character" w:customStyle="1" w:styleId="BodyTextChar">
    <w:name w:val="Body Text Char"/>
    <w:link w:val="BodyText"/>
    <w:uiPriority w:val="99"/>
    <w:semiHidden/>
    <w:locked/>
    <w:rsid w:val="001010F3"/>
    <w:rPr>
      <w:rFonts w:cs="Times New Roman"/>
      <w:color w:val="000000"/>
      <w:sz w:val="20"/>
      <w:szCs w:val="20"/>
    </w:rPr>
  </w:style>
  <w:style w:type="table" w:styleId="TableGrid">
    <w:name w:val="Table Grid"/>
    <w:basedOn w:val="TableNormal"/>
    <w:uiPriority w:val="99"/>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31326"/>
    <w:rPr>
      <w:rFonts w:cs="Times New Roman"/>
      <w:sz w:val="16"/>
      <w:szCs w:val="16"/>
    </w:rPr>
  </w:style>
  <w:style w:type="paragraph" w:styleId="CommentText">
    <w:name w:val="annotation text"/>
    <w:basedOn w:val="Normal"/>
    <w:link w:val="CommentTextChar"/>
    <w:uiPriority w:val="99"/>
    <w:semiHidden/>
    <w:rsid w:val="00C31326"/>
    <w:rPr>
      <w:sz w:val="20"/>
    </w:rPr>
  </w:style>
  <w:style w:type="character" w:customStyle="1" w:styleId="CommentTextChar">
    <w:name w:val="Comment Text Char"/>
    <w:link w:val="CommentText"/>
    <w:uiPriority w:val="99"/>
    <w:semiHidden/>
    <w:locked/>
    <w:rsid w:val="001010F3"/>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C31326"/>
    <w:rPr>
      <w:b/>
      <w:bCs/>
    </w:rPr>
  </w:style>
  <w:style w:type="character" w:customStyle="1" w:styleId="CommentSubjectChar">
    <w:name w:val="Comment Subject Char"/>
    <w:link w:val="CommentSubject"/>
    <w:uiPriority w:val="99"/>
    <w:semiHidden/>
    <w:locked/>
    <w:rsid w:val="001010F3"/>
    <w:rPr>
      <w:rFonts w:cs="Times New Roman"/>
      <w:b/>
      <w:bCs/>
      <w:color w:val="000000"/>
      <w:sz w:val="20"/>
      <w:szCs w:val="20"/>
    </w:rPr>
  </w:style>
  <w:style w:type="character" w:styleId="Hyperlink">
    <w:name w:val="Hyperlink"/>
    <w:uiPriority w:val="99"/>
    <w:rsid w:val="00227D1E"/>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69801">
      <w:marLeft w:val="0"/>
      <w:marRight w:val="0"/>
      <w:marTop w:val="0"/>
      <w:marBottom w:val="0"/>
      <w:divBdr>
        <w:top w:val="none" w:sz="0" w:space="0" w:color="auto"/>
        <w:left w:val="none" w:sz="0" w:space="0" w:color="auto"/>
        <w:bottom w:val="none" w:sz="0" w:space="0" w:color="auto"/>
        <w:right w:val="none" w:sz="0" w:space="0" w:color="auto"/>
      </w:divBdr>
    </w:div>
    <w:div w:id="231669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1224</Characters>
  <Application>Microsoft Office Word</Application>
  <DocSecurity>0</DocSecurity>
  <Lines>18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1443</CharactersWithSpaces>
  <SharedDoc>false</SharedDoc>
  <HyperlinkBase>https://www.cabinet.qld.gov.au/documents/2016/Sep/QMHCRev/</HyperlinkBase>
  <HLinks>
    <vt:vector size="6" baseType="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2017-02-09T03:26:00Z</cp:lastPrinted>
  <dcterms:created xsi:type="dcterms:W3CDTF">2017-10-25T01:53:00Z</dcterms:created>
  <dcterms:modified xsi:type="dcterms:W3CDTF">2018-03-06T01:42:00Z</dcterms:modified>
  <cp:category>Health,Public_Service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